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B50" w:rsidRDefault="00C84B50" w:rsidP="00C84B50">
      <w:pPr>
        <w:jc w:val="center"/>
        <w:rPr>
          <w:rFonts w:eastAsia="Times New Roman" w:cs="Arial"/>
          <w:b/>
        </w:rPr>
      </w:pPr>
    </w:p>
    <w:p w:rsidR="00C84B50" w:rsidRDefault="00C84B50" w:rsidP="00C84B50">
      <w:pPr>
        <w:jc w:val="center"/>
        <w:rPr>
          <w:rFonts w:eastAsia="Times New Roman" w:cs="Arial"/>
          <w:b/>
        </w:rPr>
      </w:pPr>
      <w:bookmarkStart w:id="0" w:name="_GoBack"/>
      <w:bookmarkEnd w:id="0"/>
    </w:p>
    <w:p w:rsidR="00C84B50" w:rsidRDefault="00C84B50" w:rsidP="00C84B50">
      <w:pPr>
        <w:jc w:val="center"/>
        <w:rPr>
          <w:rFonts w:eastAsia="Times New Roman" w:cs="Arial"/>
          <w:b/>
        </w:rPr>
      </w:pPr>
      <w:r>
        <w:rPr>
          <w:rFonts w:eastAsia="Times New Roman" w:cs="Arial"/>
          <w:b/>
        </w:rPr>
        <w:t>WZÓR RAPORTU Z PRZEGLĄDÓW I KONSERWACJI URZĄDZEŃ</w:t>
      </w:r>
    </w:p>
    <w:p w:rsidR="00C84B50" w:rsidRDefault="00C84B50" w:rsidP="00C84B50">
      <w:pPr>
        <w:jc w:val="center"/>
        <w:rPr>
          <w:rFonts w:eastAsia="Times New Roman" w:cs="Arial"/>
          <w:b/>
        </w:rPr>
      </w:pPr>
    </w:p>
    <w:p w:rsidR="00C84B50" w:rsidRPr="00C84B50" w:rsidRDefault="00C84B50" w:rsidP="00C84B50">
      <w:pPr>
        <w:jc w:val="center"/>
        <w:rPr>
          <w:rFonts w:eastAsia="Times New Roman" w:cs="Arial"/>
          <w:b/>
          <w:bCs/>
          <w:i/>
        </w:rPr>
      </w:pPr>
      <w:r w:rsidRPr="00C84B50">
        <w:rPr>
          <w:rFonts w:eastAsia="Times New Roman" w:cs="Arial"/>
          <w:b/>
          <w:i/>
        </w:rPr>
        <w:t>Raport z przeglądów i konserwacji systemów sterowania ruchem</w:t>
      </w:r>
    </w:p>
    <w:p w:rsidR="00C84B50" w:rsidRPr="00C84B50" w:rsidRDefault="00C84B50" w:rsidP="00C84B50">
      <w:pPr>
        <w:spacing w:after="0" w:line="240" w:lineRule="auto"/>
        <w:rPr>
          <w:rFonts w:eastAsia="Times New Roman" w:cs="Arial"/>
          <w:b/>
          <w:bCs/>
          <w:i/>
        </w:rPr>
      </w:pPr>
      <w:r w:rsidRPr="00C84B50">
        <w:rPr>
          <w:rFonts w:eastAsia="Times New Roman" w:cs="Arial"/>
          <w:b/>
          <w:bCs/>
          <w:i/>
        </w:rPr>
        <w:t>I.2.1. Systemy oświetlenia</w:t>
      </w:r>
    </w:p>
    <w:p w:rsidR="00C84B50" w:rsidRPr="00C84B50" w:rsidRDefault="00C84B50" w:rsidP="00C84B50">
      <w:pPr>
        <w:spacing w:after="0" w:line="240" w:lineRule="auto"/>
        <w:rPr>
          <w:i/>
        </w:rPr>
      </w:pPr>
    </w:p>
    <w:tbl>
      <w:tblPr>
        <w:tblW w:w="1524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2667"/>
        <w:gridCol w:w="4895"/>
        <w:gridCol w:w="1853"/>
        <w:gridCol w:w="5387"/>
      </w:tblGrid>
      <w:tr w:rsidR="00C84B50" w:rsidRPr="00C84B50" w:rsidTr="00ED4D89">
        <w:trPr>
          <w:trHeight w:val="465"/>
          <w:tblHeader/>
        </w:trPr>
        <w:tc>
          <w:tcPr>
            <w:tcW w:w="446" w:type="dxa"/>
            <w:shd w:val="clear" w:color="auto" w:fill="auto"/>
            <w:vAlign w:val="center"/>
            <w:hideMark/>
          </w:tcPr>
          <w:p w:rsidR="00C84B50" w:rsidRPr="00C84B50" w:rsidRDefault="00C84B50" w:rsidP="00ED4D8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sz w:val="20"/>
                <w:szCs w:val="20"/>
              </w:rPr>
            </w:pPr>
            <w:r w:rsidRPr="00C84B50">
              <w:rPr>
                <w:rFonts w:eastAsia="Times New Roman" w:cs="Arial"/>
                <w:b/>
                <w:bCs/>
                <w:i/>
                <w:sz w:val="20"/>
                <w:szCs w:val="20"/>
              </w:rPr>
              <w:t>Lp.</w:t>
            </w:r>
          </w:p>
        </w:tc>
        <w:tc>
          <w:tcPr>
            <w:tcW w:w="2667" w:type="dxa"/>
            <w:shd w:val="clear" w:color="auto" w:fill="auto"/>
            <w:vAlign w:val="center"/>
            <w:hideMark/>
          </w:tcPr>
          <w:p w:rsidR="00C84B50" w:rsidRPr="00C84B50" w:rsidRDefault="00C84B50" w:rsidP="00ED4D8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sz w:val="20"/>
                <w:szCs w:val="20"/>
              </w:rPr>
            </w:pPr>
            <w:r w:rsidRPr="00C84B50">
              <w:rPr>
                <w:rFonts w:eastAsia="Times New Roman" w:cs="Arial"/>
                <w:b/>
                <w:bCs/>
                <w:i/>
                <w:sz w:val="20"/>
                <w:szCs w:val="20"/>
              </w:rPr>
              <w:t>Wykaz czynności</w:t>
            </w:r>
          </w:p>
        </w:tc>
        <w:tc>
          <w:tcPr>
            <w:tcW w:w="4895" w:type="dxa"/>
            <w:shd w:val="clear" w:color="auto" w:fill="auto"/>
            <w:vAlign w:val="center"/>
            <w:hideMark/>
          </w:tcPr>
          <w:p w:rsidR="00C84B50" w:rsidRPr="00C84B50" w:rsidRDefault="00C84B50" w:rsidP="00ED4D8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sz w:val="20"/>
                <w:szCs w:val="20"/>
              </w:rPr>
            </w:pPr>
            <w:r w:rsidRPr="00C84B50">
              <w:rPr>
                <w:rFonts w:eastAsia="Times New Roman" w:cs="Arial"/>
                <w:b/>
                <w:bCs/>
                <w:i/>
                <w:sz w:val="20"/>
                <w:szCs w:val="20"/>
              </w:rPr>
              <w:t>Wymagania szczegółowe (zakres)</w:t>
            </w:r>
          </w:p>
        </w:tc>
        <w:tc>
          <w:tcPr>
            <w:tcW w:w="1853" w:type="dxa"/>
            <w:vAlign w:val="center"/>
          </w:tcPr>
          <w:p w:rsidR="00C84B50" w:rsidRPr="00C84B50" w:rsidRDefault="00C84B50" w:rsidP="00ED4D8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sz w:val="20"/>
                <w:szCs w:val="20"/>
              </w:rPr>
            </w:pPr>
            <w:r w:rsidRPr="00C84B50">
              <w:rPr>
                <w:rFonts w:eastAsia="Times New Roman" w:cs="Arial"/>
                <w:b/>
                <w:bCs/>
                <w:i/>
                <w:sz w:val="20"/>
                <w:szCs w:val="20"/>
              </w:rPr>
              <w:t>Data wykonania</w:t>
            </w:r>
          </w:p>
        </w:tc>
        <w:tc>
          <w:tcPr>
            <w:tcW w:w="5387" w:type="dxa"/>
            <w:vAlign w:val="center"/>
          </w:tcPr>
          <w:p w:rsidR="00C84B50" w:rsidRPr="00C84B50" w:rsidRDefault="00C84B50" w:rsidP="00ED4D8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sz w:val="20"/>
                <w:szCs w:val="20"/>
              </w:rPr>
            </w:pPr>
            <w:r w:rsidRPr="00C84B50">
              <w:rPr>
                <w:rFonts w:eastAsia="Times New Roman" w:cs="Arial"/>
                <w:b/>
                <w:bCs/>
                <w:i/>
                <w:sz w:val="20"/>
                <w:szCs w:val="20"/>
              </w:rPr>
              <w:t>Uwagi</w:t>
            </w:r>
          </w:p>
        </w:tc>
      </w:tr>
      <w:tr w:rsidR="00C84B50" w:rsidRPr="00C84B50" w:rsidTr="00ED4D89">
        <w:trPr>
          <w:trHeight w:val="605"/>
        </w:trPr>
        <w:tc>
          <w:tcPr>
            <w:tcW w:w="446" w:type="dxa"/>
            <w:shd w:val="clear" w:color="auto" w:fill="auto"/>
            <w:vAlign w:val="center"/>
            <w:hideMark/>
          </w:tcPr>
          <w:p w:rsidR="00C84B50" w:rsidRPr="00C84B50" w:rsidRDefault="00C84B50" w:rsidP="00ED4D89">
            <w:pPr>
              <w:spacing w:after="0" w:line="240" w:lineRule="auto"/>
              <w:jc w:val="center"/>
              <w:rPr>
                <w:rFonts w:eastAsia="Times New Roman" w:cs="Arial"/>
                <w:i/>
                <w:sz w:val="20"/>
                <w:szCs w:val="20"/>
              </w:rPr>
            </w:pPr>
            <w:r w:rsidRPr="00C84B50">
              <w:rPr>
                <w:rFonts w:eastAsia="Times New Roman" w:cs="Arial"/>
                <w:i/>
                <w:sz w:val="20"/>
                <w:szCs w:val="20"/>
              </w:rPr>
              <w:t>1.</w:t>
            </w:r>
          </w:p>
        </w:tc>
        <w:tc>
          <w:tcPr>
            <w:tcW w:w="2667" w:type="dxa"/>
            <w:shd w:val="clear" w:color="auto" w:fill="auto"/>
            <w:vAlign w:val="center"/>
            <w:hideMark/>
          </w:tcPr>
          <w:p w:rsidR="00C84B50" w:rsidRPr="00C84B50" w:rsidRDefault="00C84B50" w:rsidP="00ED4D89">
            <w:pPr>
              <w:spacing w:after="0" w:line="240" w:lineRule="auto"/>
              <w:rPr>
                <w:rFonts w:eastAsia="Times New Roman" w:cs="Arial"/>
                <w:i/>
                <w:sz w:val="20"/>
                <w:szCs w:val="20"/>
              </w:rPr>
            </w:pPr>
            <w:r w:rsidRPr="00C84B50">
              <w:rPr>
                <w:rFonts w:eastAsia="Times New Roman" w:cs="Arial"/>
                <w:i/>
                <w:sz w:val="20"/>
                <w:szCs w:val="20"/>
              </w:rPr>
              <w:t>Sprawdzenie poprawności połączeń oświetlenia strefy wjazdowej</w:t>
            </w:r>
          </w:p>
        </w:tc>
        <w:tc>
          <w:tcPr>
            <w:tcW w:w="4895" w:type="dxa"/>
            <w:shd w:val="clear" w:color="auto" w:fill="auto"/>
            <w:vAlign w:val="center"/>
            <w:hideMark/>
          </w:tcPr>
          <w:p w:rsidR="00C84B50" w:rsidRPr="00C84B50" w:rsidRDefault="00C84B50" w:rsidP="00ED4D89">
            <w:pPr>
              <w:spacing w:after="0" w:line="240" w:lineRule="auto"/>
              <w:rPr>
                <w:rFonts w:eastAsia="Times New Roman" w:cs="Arial"/>
                <w:i/>
                <w:sz w:val="20"/>
                <w:szCs w:val="20"/>
              </w:rPr>
            </w:pPr>
            <w:r w:rsidRPr="00C84B50">
              <w:rPr>
                <w:rFonts w:eastAsia="Times New Roman" w:cs="Arial"/>
                <w:i/>
                <w:sz w:val="20"/>
                <w:szCs w:val="20"/>
              </w:rPr>
              <w:t>Sprawdzenie stanu połączeń elektrycznych, skontrolowanie działania źródeł oświetlenia, wymiana spalonych żarówek.</w:t>
            </w:r>
          </w:p>
        </w:tc>
        <w:tc>
          <w:tcPr>
            <w:tcW w:w="1853" w:type="dxa"/>
          </w:tcPr>
          <w:p w:rsidR="00C84B50" w:rsidRPr="00C84B50" w:rsidRDefault="00C84B50" w:rsidP="00ED4D89">
            <w:pPr>
              <w:spacing w:after="0" w:line="240" w:lineRule="auto"/>
              <w:rPr>
                <w:rFonts w:eastAsia="Times New Roman" w:cs="Arial"/>
                <w:i/>
                <w:sz w:val="20"/>
                <w:szCs w:val="20"/>
              </w:rPr>
            </w:pPr>
          </w:p>
        </w:tc>
        <w:tc>
          <w:tcPr>
            <w:tcW w:w="5387" w:type="dxa"/>
          </w:tcPr>
          <w:p w:rsidR="00C84B50" w:rsidRPr="00C84B50" w:rsidRDefault="00C84B50" w:rsidP="00ED4D89">
            <w:pPr>
              <w:spacing w:after="0" w:line="240" w:lineRule="auto"/>
              <w:rPr>
                <w:rFonts w:eastAsia="Times New Roman" w:cs="Arial"/>
                <w:i/>
                <w:sz w:val="20"/>
                <w:szCs w:val="20"/>
              </w:rPr>
            </w:pPr>
          </w:p>
        </w:tc>
      </w:tr>
      <w:tr w:rsidR="00C84B50" w:rsidRPr="00C84B50" w:rsidTr="00ED4D89">
        <w:trPr>
          <w:trHeight w:val="674"/>
        </w:trPr>
        <w:tc>
          <w:tcPr>
            <w:tcW w:w="446" w:type="dxa"/>
            <w:shd w:val="clear" w:color="auto" w:fill="auto"/>
            <w:vAlign w:val="center"/>
            <w:hideMark/>
          </w:tcPr>
          <w:p w:rsidR="00C84B50" w:rsidRPr="00C84B50" w:rsidRDefault="00C84B50" w:rsidP="00ED4D89">
            <w:pPr>
              <w:spacing w:after="0" w:line="240" w:lineRule="auto"/>
              <w:jc w:val="center"/>
              <w:rPr>
                <w:rFonts w:eastAsia="Times New Roman" w:cs="Arial"/>
                <w:i/>
                <w:sz w:val="20"/>
                <w:szCs w:val="20"/>
              </w:rPr>
            </w:pPr>
            <w:r w:rsidRPr="00C84B50">
              <w:rPr>
                <w:rFonts w:eastAsia="Times New Roman" w:cs="Arial"/>
                <w:i/>
                <w:sz w:val="20"/>
                <w:szCs w:val="20"/>
              </w:rPr>
              <w:t>2.</w:t>
            </w:r>
          </w:p>
        </w:tc>
        <w:tc>
          <w:tcPr>
            <w:tcW w:w="2667" w:type="dxa"/>
            <w:shd w:val="clear" w:color="auto" w:fill="auto"/>
            <w:vAlign w:val="center"/>
            <w:hideMark/>
          </w:tcPr>
          <w:p w:rsidR="00C84B50" w:rsidRPr="00C84B50" w:rsidRDefault="00C84B50" w:rsidP="00ED4D89">
            <w:pPr>
              <w:spacing w:after="0" w:line="240" w:lineRule="auto"/>
              <w:rPr>
                <w:rFonts w:eastAsia="Times New Roman" w:cs="Arial"/>
                <w:i/>
                <w:sz w:val="20"/>
                <w:szCs w:val="20"/>
              </w:rPr>
            </w:pPr>
            <w:r w:rsidRPr="00C84B50">
              <w:rPr>
                <w:rFonts w:eastAsia="Times New Roman" w:cs="Arial"/>
                <w:i/>
                <w:sz w:val="20"/>
                <w:szCs w:val="20"/>
              </w:rPr>
              <w:t>Sprawdzenie poprawności połączeń oświetlenia strefy wewnętrznej i ewakuacyjnego</w:t>
            </w:r>
          </w:p>
        </w:tc>
        <w:tc>
          <w:tcPr>
            <w:tcW w:w="4895" w:type="dxa"/>
            <w:shd w:val="clear" w:color="auto" w:fill="auto"/>
            <w:vAlign w:val="center"/>
            <w:hideMark/>
          </w:tcPr>
          <w:p w:rsidR="00C84B50" w:rsidRPr="00C84B50" w:rsidRDefault="00C84B50" w:rsidP="00ED4D89">
            <w:pPr>
              <w:spacing w:after="0" w:line="240" w:lineRule="auto"/>
              <w:rPr>
                <w:rFonts w:eastAsia="Times New Roman" w:cs="Arial"/>
                <w:i/>
                <w:sz w:val="20"/>
                <w:szCs w:val="20"/>
              </w:rPr>
            </w:pPr>
            <w:r w:rsidRPr="00C84B50">
              <w:rPr>
                <w:rFonts w:eastAsia="Times New Roman" w:cs="Arial"/>
                <w:i/>
                <w:sz w:val="20"/>
                <w:szCs w:val="20"/>
              </w:rPr>
              <w:t>Sprawdzenie stanu połączeń elektrycznych, skontrolowanie działania źródeł oświetlenia, wymiana spalonych żarówek.</w:t>
            </w:r>
          </w:p>
        </w:tc>
        <w:tc>
          <w:tcPr>
            <w:tcW w:w="1853" w:type="dxa"/>
          </w:tcPr>
          <w:p w:rsidR="00C84B50" w:rsidRPr="00C84B50" w:rsidRDefault="00C84B50" w:rsidP="00ED4D89">
            <w:pPr>
              <w:spacing w:after="0" w:line="240" w:lineRule="auto"/>
              <w:rPr>
                <w:rFonts w:eastAsia="Times New Roman" w:cs="Arial"/>
                <w:i/>
                <w:sz w:val="20"/>
                <w:szCs w:val="20"/>
              </w:rPr>
            </w:pPr>
          </w:p>
        </w:tc>
        <w:tc>
          <w:tcPr>
            <w:tcW w:w="5387" w:type="dxa"/>
          </w:tcPr>
          <w:p w:rsidR="00C84B50" w:rsidRPr="00C84B50" w:rsidRDefault="00C84B50" w:rsidP="00ED4D89">
            <w:pPr>
              <w:spacing w:after="0" w:line="240" w:lineRule="auto"/>
              <w:rPr>
                <w:rFonts w:eastAsia="Times New Roman" w:cs="Arial"/>
                <w:i/>
                <w:sz w:val="20"/>
                <w:szCs w:val="20"/>
              </w:rPr>
            </w:pPr>
          </w:p>
        </w:tc>
      </w:tr>
    </w:tbl>
    <w:p w:rsidR="0071575A" w:rsidRDefault="0020387F"/>
    <w:p w:rsidR="0020387F" w:rsidRPr="0020387F" w:rsidRDefault="0020387F">
      <w:pPr>
        <w:rPr>
          <w:b/>
        </w:rPr>
      </w:pPr>
      <w:r w:rsidRPr="0020387F">
        <w:rPr>
          <w:b/>
        </w:rPr>
        <w:t xml:space="preserve">Na podstawie powyższej tabeli należy wykonywać co miesięczne raporty z przeprowadzonych prac na podstawie Dokumentacji </w:t>
      </w:r>
      <w:proofErr w:type="spellStart"/>
      <w:r w:rsidRPr="0020387F">
        <w:rPr>
          <w:b/>
        </w:rPr>
        <w:t>Techniczno</w:t>
      </w:r>
      <w:proofErr w:type="spellEnd"/>
      <w:r w:rsidRPr="0020387F">
        <w:rPr>
          <w:b/>
        </w:rPr>
        <w:t xml:space="preserve"> – Ruchowej (DTR)</w:t>
      </w:r>
    </w:p>
    <w:sectPr w:rsidR="0020387F" w:rsidRPr="0020387F" w:rsidSect="00C84B5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9D7"/>
    <w:rsid w:val="0020387F"/>
    <w:rsid w:val="00664147"/>
    <w:rsid w:val="006819D7"/>
    <w:rsid w:val="00BC5EF0"/>
    <w:rsid w:val="00C8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40CC4-7096-4481-AA66-AEFAFF38E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4B50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638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Kondrusiewicz</dc:creator>
  <cp:keywords/>
  <dc:description/>
  <cp:lastModifiedBy>Michał Kondrusiewicz</cp:lastModifiedBy>
  <cp:revision>3</cp:revision>
  <dcterms:created xsi:type="dcterms:W3CDTF">2017-02-12T13:54:00Z</dcterms:created>
  <dcterms:modified xsi:type="dcterms:W3CDTF">2017-02-28T08:01:00Z</dcterms:modified>
</cp:coreProperties>
</file>